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05" w:rsidRPr="00307FD8" w:rsidRDefault="00606105" w:rsidP="00606105">
      <w:pPr>
        <w:spacing w:line="240" w:lineRule="auto"/>
        <w:jc w:val="center"/>
        <w:rPr>
          <w:rFonts w:ascii="Arial" w:hAnsi="Arial" w:cs="Arial"/>
          <w:b/>
          <w:sz w:val="36"/>
          <w:szCs w:val="16"/>
        </w:rPr>
      </w:pPr>
      <w:bookmarkStart w:id="0" w:name="_GoBack"/>
      <w:bookmarkEnd w:id="0"/>
      <w:r w:rsidRPr="00307FD8">
        <w:rPr>
          <w:rFonts w:ascii="Arial" w:hAnsi="Arial" w:cs="Arial"/>
          <w:b/>
          <w:sz w:val="36"/>
          <w:szCs w:val="16"/>
        </w:rPr>
        <w:t>Mensch vs. Person</w:t>
      </w:r>
    </w:p>
    <w:p w:rsidR="00606105" w:rsidRDefault="00606105" w:rsidP="00606105">
      <w:pPr>
        <w:spacing w:line="240" w:lineRule="auto"/>
        <w:rPr>
          <w:rFonts w:ascii="Arial" w:hAnsi="Arial" w:cs="Arial"/>
          <w:sz w:val="16"/>
          <w:szCs w:val="16"/>
          <w:u w:val="single"/>
        </w:rPr>
      </w:pPr>
    </w:p>
    <w:p w:rsidR="00247955" w:rsidRPr="00247955" w:rsidRDefault="00247955" w:rsidP="00606105">
      <w:pPr>
        <w:spacing w:line="240" w:lineRule="auto"/>
        <w:rPr>
          <w:rFonts w:ascii="Arial" w:hAnsi="Arial" w:cs="Arial"/>
          <w:b/>
          <w:sz w:val="20"/>
          <w:szCs w:val="16"/>
        </w:rPr>
      </w:pPr>
      <w:r w:rsidRPr="00247955">
        <w:rPr>
          <w:rFonts w:ascii="Arial" w:hAnsi="Arial" w:cs="Arial"/>
          <w:b/>
          <w:sz w:val="20"/>
          <w:szCs w:val="16"/>
        </w:rPr>
        <w:t>Der (juristische) Unterschied zwischen Mensch und Person:</w:t>
      </w:r>
    </w:p>
    <w:p w:rsidR="00606105" w:rsidRPr="00606105" w:rsidRDefault="00606105" w:rsidP="00606105">
      <w:pPr>
        <w:spacing w:line="240" w:lineRule="auto"/>
        <w:rPr>
          <w:rFonts w:ascii="Arial" w:hAnsi="Arial" w:cs="Arial"/>
          <w:sz w:val="20"/>
          <w:szCs w:val="16"/>
        </w:rPr>
      </w:pPr>
      <w:r w:rsidRPr="00606105">
        <w:rPr>
          <w:rFonts w:ascii="Arial" w:hAnsi="Arial" w:cs="Arial"/>
          <w:sz w:val="20"/>
          <w:szCs w:val="16"/>
          <w:u w:val="single"/>
        </w:rPr>
        <w:t>zitierte Beweise von Seiten des Systems in Deutschland:</w:t>
      </w:r>
      <w:r w:rsidRPr="00606105">
        <w:rPr>
          <w:rFonts w:ascii="Arial" w:hAnsi="Arial" w:cs="Arial"/>
          <w:sz w:val="20"/>
          <w:szCs w:val="16"/>
        </w:rPr>
        <w:t xml:space="preserve"> </w:t>
      </w:r>
    </w:p>
    <w:p w:rsidR="00606105" w:rsidRPr="00606105" w:rsidRDefault="00606105" w:rsidP="00606105">
      <w:pPr>
        <w:pStyle w:val="imalignjustify"/>
        <w:ind w:left="1080"/>
        <w:rPr>
          <w:rFonts w:ascii="Arial" w:hAnsi="Arial" w:cs="Arial"/>
          <w:sz w:val="20"/>
          <w:szCs w:val="16"/>
        </w:rPr>
      </w:pPr>
      <w:r w:rsidRPr="00606105">
        <w:rPr>
          <w:rStyle w:val="ff2"/>
          <w:rFonts w:ascii="Arial" w:hAnsi="Arial" w:cs="Arial"/>
          <w:sz w:val="20"/>
          <w:szCs w:val="16"/>
        </w:rPr>
        <w:t xml:space="preserve">Ein Mensch ist nicht </w:t>
      </w:r>
      <w:r w:rsidR="0052057E" w:rsidRPr="00606105">
        <w:rPr>
          <w:rStyle w:val="ff2"/>
          <w:rFonts w:ascii="Arial" w:hAnsi="Arial" w:cs="Arial"/>
          <w:sz w:val="20"/>
          <w:szCs w:val="16"/>
        </w:rPr>
        <w:t>rechtsfähig</w:t>
      </w:r>
      <w:r w:rsidRPr="00606105">
        <w:rPr>
          <w:rStyle w:val="ff2"/>
          <w:rFonts w:ascii="Arial" w:hAnsi="Arial" w:cs="Arial"/>
          <w:sz w:val="20"/>
          <w:szCs w:val="16"/>
        </w:rPr>
        <w:t>, denn vor (davor) dem Gesetz sind alle Menschen gleich. Nach (danach) dem Gesetz sind alle Menschen ungleich, denn- hat der Mensch Rechte übertragen bekommen, dann ist er nicht mehr als Mensch zu betrachten, sondern als Person.</w:t>
      </w:r>
      <w:r w:rsidRPr="00606105">
        <w:rPr>
          <w:rStyle w:val="ff1"/>
          <w:rFonts w:ascii="Arial" w:hAnsi="Arial" w:cs="Arial"/>
          <w:sz w:val="20"/>
          <w:szCs w:val="16"/>
        </w:rPr>
        <w:t xml:space="preserve"> </w:t>
      </w:r>
      <w:r w:rsidRPr="00606105">
        <w:rPr>
          <w:rFonts w:ascii="Arial" w:hAnsi="Arial" w:cs="Arial"/>
          <w:sz w:val="20"/>
          <w:szCs w:val="16"/>
        </w:rPr>
        <w:br/>
      </w:r>
      <w:r w:rsidRPr="00606105">
        <w:rPr>
          <w:rFonts w:ascii="Arial" w:hAnsi="Arial" w:cs="Arial"/>
          <w:sz w:val="20"/>
          <w:szCs w:val="16"/>
        </w:rPr>
        <w:br/>
      </w:r>
      <w:r w:rsidRPr="00606105">
        <w:rPr>
          <w:rStyle w:val="ff2"/>
          <w:rFonts w:ascii="Arial" w:hAnsi="Arial" w:cs="Arial"/>
          <w:sz w:val="20"/>
          <w:szCs w:val="16"/>
        </w:rPr>
        <w:t xml:space="preserve">Mit der Menschenwürde ist der soziale Wert- und Achtungsanspruch gemeint, der dem Menschen wegen seines Menschseins zukommt </w:t>
      </w:r>
      <w:r w:rsidRPr="00606105">
        <w:rPr>
          <w:rStyle w:val="ff2"/>
          <w:rFonts w:ascii="Arial" w:hAnsi="Arial" w:cs="Arial"/>
          <w:b/>
          <w:sz w:val="20"/>
          <w:szCs w:val="16"/>
        </w:rPr>
        <w:t>- Quelle: BVerfGE 87, 209/228</w:t>
      </w:r>
      <w:r w:rsidRPr="00606105">
        <w:rPr>
          <w:rStyle w:val="ff2"/>
          <w:rFonts w:ascii="Arial" w:hAnsi="Arial" w:cs="Arial"/>
          <w:sz w:val="20"/>
          <w:szCs w:val="16"/>
        </w:rPr>
        <w:t>.</w:t>
      </w:r>
      <w:r w:rsidRPr="00606105">
        <w:rPr>
          <w:rStyle w:val="ff1"/>
          <w:rFonts w:ascii="Arial" w:hAnsi="Arial" w:cs="Arial"/>
          <w:sz w:val="20"/>
          <w:szCs w:val="16"/>
        </w:rPr>
        <w:t xml:space="preserve"> </w:t>
      </w:r>
      <w:r w:rsidRPr="00606105">
        <w:rPr>
          <w:rFonts w:ascii="Arial" w:hAnsi="Arial" w:cs="Arial"/>
          <w:sz w:val="20"/>
          <w:szCs w:val="16"/>
        </w:rPr>
        <w:br/>
      </w:r>
      <w:r w:rsidRPr="00606105">
        <w:rPr>
          <w:rFonts w:ascii="Arial" w:hAnsi="Arial" w:cs="Arial"/>
          <w:sz w:val="20"/>
          <w:szCs w:val="16"/>
        </w:rPr>
        <w:br/>
      </w:r>
      <w:r w:rsidRPr="00606105">
        <w:rPr>
          <w:rStyle w:val="ff2"/>
          <w:rFonts w:ascii="Arial" w:hAnsi="Arial" w:cs="Arial"/>
          <w:sz w:val="20"/>
          <w:szCs w:val="16"/>
        </w:rPr>
        <w:t xml:space="preserve">Daraus folgt, </w:t>
      </w:r>
      <w:proofErr w:type="spellStart"/>
      <w:r w:rsidRPr="00606105">
        <w:rPr>
          <w:rStyle w:val="ff2"/>
          <w:rFonts w:ascii="Arial" w:hAnsi="Arial" w:cs="Arial"/>
          <w:sz w:val="20"/>
          <w:szCs w:val="16"/>
        </w:rPr>
        <w:t>daß</w:t>
      </w:r>
      <w:proofErr w:type="spellEnd"/>
      <w:r w:rsidRPr="00606105">
        <w:rPr>
          <w:rStyle w:val="ff2"/>
          <w:rFonts w:ascii="Arial" w:hAnsi="Arial" w:cs="Arial"/>
          <w:sz w:val="20"/>
          <w:szCs w:val="16"/>
        </w:rPr>
        <w:t xml:space="preserve"> der Mensch als gleichberechtigtes Glied mit Eigenwert anerkannt wird und als Mensch (Subjekt) behandelt werden </w:t>
      </w:r>
      <w:proofErr w:type="spellStart"/>
      <w:r w:rsidRPr="00606105">
        <w:rPr>
          <w:rStyle w:val="ff2"/>
          <w:rFonts w:ascii="Arial" w:hAnsi="Arial" w:cs="Arial"/>
          <w:sz w:val="20"/>
          <w:szCs w:val="16"/>
        </w:rPr>
        <w:t>muß</w:t>
      </w:r>
      <w:proofErr w:type="spellEnd"/>
      <w:r w:rsidRPr="00606105">
        <w:rPr>
          <w:rStyle w:val="ff2"/>
          <w:rFonts w:ascii="Arial" w:hAnsi="Arial" w:cs="Arial"/>
          <w:sz w:val="20"/>
          <w:szCs w:val="16"/>
        </w:rPr>
        <w:t xml:space="preserve"> </w:t>
      </w:r>
      <w:r w:rsidRPr="00606105">
        <w:rPr>
          <w:rStyle w:val="ff2"/>
          <w:rFonts w:ascii="Arial" w:hAnsi="Arial" w:cs="Arial"/>
          <w:b/>
          <w:sz w:val="20"/>
          <w:szCs w:val="16"/>
        </w:rPr>
        <w:t>- Quelle:</w:t>
      </w:r>
      <w:r w:rsidRPr="00606105">
        <w:rPr>
          <w:rStyle w:val="ff2"/>
          <w:rFonts w:ascii="Arial" w:hAnsi="Arial" w:cs="Arial"/>
          <w:sz w:val="20"/>
          <w:szCs w:val="16"/>
        </w:rPr>
        <w:t xml:space="preserve"> </w:t>
      </w:r>
      <w:r w:rsidRPr="00606105">
        <w:rPr>
          <w:rStyle w:val="ff2"/>
          <w:rFonts w:ascii="Arial" w:hAnsi="Arial" w:cs="Arial"/>
          <w:b/>
          <w:sz w:val="20"/>
          <w:szCs w:val="16"/>
        </w:rPr>
        <w:t>BVerfGE 45, 187/228</w:t>
      </w:r>
      <w:r w:rsidRPr="00606105">
        <w:rPr>
          <w:rStyle w:val="ff2"/>
          <w:rFonts w:ascii="Arial" w:hAnsi="Arial" w:cs="Arial"/>
          <w:sz w:val="20"/>
          <w:szCs w:val="16"/>
        </w:rPr>
        <w:t>.</w:t>
      </w:r>
      <w:r w:rsidRPr="00606105">
        <w:rPr>
          <w:rStyle w:val="ff1"/>
          <w:rFonts w:ascii="Arial" w:hAnsi="Arial" w:cs="Arial"/>
          <w:sz w:val="20"/>
          <w:szCs w:val="16"/>
        </w:rPr>
        <w:t xml:space="preserve"> </w:t>
      </w:r>
      <w:r w:rsidRPr="00606105">
        <w:rPr>
          <w:rFonts w:ascii="Arial" w:hAnsi="Arial" w:cs="Arial"/>
          <w:sz w:val="20"/>
          <w:szCs w:val="16"/>
        </w:rPr>
        <w:br/>
      </w:r>
      <w:r w:rsidRPr="00606105">
        <w:rPr>
          <w:rFonts w:ascii="Arial" w:hAnsi="Arial" w:cs="Arial"/>
          <w:sz w:val="20"/>
          <w:szCs w:val="16"/>
        </w:rPr>
        <w:br/>
      </w:r>
      <w:r w:rsidRPr="00606105">
        <w:rPr>
          <w:rStyle w:val="ff2"/>
          <w:rFonts w:ascii="Arial" w:hAnsi="Arial" w:cs="Arial"/>
          <w:sz w:val="20"/>
          <w:szCs w:val="16"/>
        </w:rPr>
        <w:t>Insoweit steht dem Menschen ein Elementarschutz zu, weshalb alle Handlungen verboten sind, mit der die aus der Menschenwürde fließende Subjektqualität verletzt werden könnte.</w:t>
      </w:r>
      <w:r w:rsidRPr="00606105">
        <w:rPr>
          <w:rStyle w:val="ff1"/>
          <w:rFonts w:ascii="Arial" w:hAnsi="Arial" w:cs="Arial"/>
          <w:sz w:val="20"/>
          <w:szCs w:val="16"/>
        </w:rPr>
        <w:t xml:space="preserve"> </w:t>
      </w:r>
      <w:r w:rsidRPr="00606105">
        <w:rPr>
          <w:rFonts w:ascii="Arial" w:hAnsi="Arial" w:cs="Arial"/>
          <w:sz w:val="20"/>
          <w:szCs w:val="16"/>
        </w:rPr>
        <w:br/>
      </w:r>
      <w:r w:rsidRPr="00606105">
        <w:rPr>
          <w:rFonts w:ascii="Arial" w:hAnsi="Arial" w:cs="Arial"/>
          <w:sz w:val="20"/>
          <w:szCs w:val="16"/>
        </w:rPr>
        <w:br/>
      </w:r>
      <w:r w:rsidRPr="00606105">
        <w:rPr>
          <w:rStyle w:val="ff2"/>
          <w:rFonts w:ascii="Arial" w:hAnsi="Arial" w:cs="Arial"/>
          <w:b/>
          <w:sz w:val="20"/>
          <w:szCs w:val="16"/>
        </w:rPr>
        <w:t xml:space="preserve">Verboten ist daher auch, Menschen als Objekt, also als Person zu behandeln </w:t>
      </w:r>
      <w:r w:rsidRPr="00606105">
        <w:rPr>
          <w:rStyle w:val="ff2"/>
          <w:rFonts w:ascii="Arial" w:hAnsi="Arial" w:cs="Arial"/>
          <w:sz w:val="20"/>
          <w:szCs w:val="16"/>
        </w:rPr>
        <w:t xml:space="preserve">- Quelle: </w:t>
      </w:r>
      <w:r w:rsidRPr="00606105">
        <w:rPr>
          <w:rStyle w:val="ff2"/>
          <w:rFonts w:ascii="Arial" w:hAnsi="Arial" w:cs="Arial"/>
          <w:b/>
          <w:sz w:val="20"/>
          <w:szCs w:val="16"/>
        </w:rPr>
        <w:t>BVerfGE 63, 332/337.</w:t>
      </w:r>
      <w:r w:rsidRPr="00606105">
        <w:rPr>
          <w:rStyle w:val="ff2"/>
          <w:rFonts w:ascii="Arial" w:hAnsi="Arial" w:cs="Arial"/>
          <w:b/>
          <w:sz w:val="20"/>
          <w:szCs w:val="16"/>
        </w:rPr>
        <w:br/>
      </w:r>
    </w:p>
    <w:p w:rsidR="00606105" w:rsidRPr="00606105" w:rsidRDefault="00606105" w:rsidP="00606105">
      <w:pPr>
        <w:pStyle w:val="StandardWeb"/>
        <w:rPr>
          <w:rFonts w:ascii="Arial" w:hAnsi="Arial" w:cs="Arial"/>
          <w:sz w:val="20"/>
          <w:szCs w:val="16"/>
        </w:rPr>
      </w:pPr>
      <w:r w:rsidRPr="00606105">
        <w:rPr>
          <w:rFonts w:ascii="Arial" w:hAnsi="Arial" w:cs="Arial"/>
          <w:sz w:val="20"/>
          <w:szCs w:val="16"/>
          <w:u w:val="single"/>
        </w:rPr>
        <w:t xml:space="preserve">Auszug </w:t>
      </w:r>
      <w:r w:rsidR="0052057E" w:rsidRPr="00606105">
        <w:rPr>
          <w:rFonts w:ascii="Arial" w:hAnsi="Arial" w:cs="Arial"/>
          <w:sz w:val="20"/>
          <w:szCs w:val="16"/>
          <w:u w:val="single"/>
        </w:rPr>
        <w:t>juristisches. Wörterbuch</w:t>
      </w:r>
      <w:r w:rsidRPr="00606105">
        <w:rPr>
          <w:rFonts w:ascii="Arial" w:hAnsi="Arial" w:cs="Arial"/>
          <w:sz w:val="20"/>
          <w:szCs w:val="16"/>
          <w:u w:val="single"/>
        </w:rPr>
        <w:t xml:space="preserve"> </w:t>
      </w:r>
      <w:proofErr w:type="spellStart"/>
      <w:r w:rsidRPr="00606105">
        <w:rPr>
          <w:rFonts w:ascii="Arial" w:hAnsi="Arial" w:cs="Arial"/>
          <w:sz w:val="20"/>
          <w:szCs w:val="16"/>
          <w:u w:val="single"/>
        </w:rPr>
        <w:t>Köbler</w:t>
      </w:r>
      <w:proofErr w:type="spellEnd"/>
      <w:r w:rsidRPr="00606105">
        <w:rPr>
          <w:rFonts w:ascii="Arial" w:hAnsi="Arial" w:cs="Arial"/>
          <w:sz w:val="20"/>
          <w:szCs w:val="16"/>
          <w:u w:val="single"/>
        </w:rPr>
        <w:t>:</w:t>
      </w:r>
    </w:p>
    <w:p w:rsidR="00606105" w:rsidRPr="00606105" w:rsidRDefault="00606105" w:rsidP="00606105">
      <w:pPr>
        <w:pStyle w:val="StandardWeb"/>
        <w:ind w:left="1080"/>
        <w:rPr>
          <w:rFonts w:ascii="Arial" w:hAnsi="Arial" w:cs="Arial"/>
          <w:sz w:val="20"/>
          <w:szCs w:val="16"/>
        </w:rPr>
      </w:pPr>
      <w:r w:rsidRPr="00606105">
        <w:rPr>
          <w:rStyle w:val="Fett"/>
          <w:rFonts w:ascii="Arial" w:hAnsi="Arial" w:cs="Arial"/>
          <w:sz w:val="20"/>
          <w:szCs w:val="16"/>
        </w:rPr>
        <w:t>„Der Mensch“:</w:t>
      </w:r>
      <w:r w:rsidRPr="00606105">
        <w:rPr>
          <w:rFonts w:ascii="Arial" w:hAnsi="Arial" w:cs="Arial"/>
          <w:sz w:val="20"/>
          <w:szCs w:val="16"/>
        </w:rPr>
        <w:br/>
        <w:t>ist das mit Verstand und Sprachvermögen begabte Lebewesen von seiner Geburt bis zu seinem Tod. Der Mensch steht im Mittelpunkt des vom ihm gestalteten Rechtes. Er hat bestimmte grundlegende Rechte gegenüber dem Staat.</w:t>
      </w:r>
    </w:p>
    <w:p w:rsidR="00606105" w:rsidRPr="00606105" w:rsidRDefault="00606105" w:rsidP="00606105">
      <w:pPr>
        <w:pStyle w:val="StandardWeb"/>
        <w:ind w:left="1080"/>
        <w:rPr>
          <w:rFonts w:ascii="Arial" w:hAnsi="Arial" w:cs="Arial"/>
          <w:sz w:val="20"/>
          <w:szCs w:val="16"/>
        </w:rPr>
      </w:pPr>
      <w:r w:rsidRPr="00606105">
        <w:rPr>
          <w:rStyle w:val="Fett"/>
          <w:rFonts w:ascii="Arial" w:hAnsi="Arial" w:cs="Arial"/>
          <w:sz w:val="20"/>
          <w:szCs w:val="16"/>
        </w:rPr>
        <w:t>„Menschenrecht“:</w:t>
      </w:r>
      <w:r w:rsidRPr="00606105">
        <w:rPr>
          <w:rFonts w:ascii="Arial" w:hAnsi="Arial" w:cs="Arial"/>
          <w:sz w:val="20"/>
          <w:szCs w:val="16"/>
        </w:rPr>
        <w:br/>
        <w:t xml:space="preserve">ist das dem Menschen als solches (gegenüber dem Staat) zustehende, angeborene </w:t>
      </w:r>
      <w:r w:rsidRPr="00606105">
        <w:rPr>
          <w:rFonts w:ascii="Arial" w:hAnsi="Arial" w:cs="Arial"/>
          <w:sz w:val="20"/>
          <w:szCs w:val="16"/>
        </w:rPr>
        <w:br/>
        <w:t>(unveräußerliche, unantastbare) Recht vor allem die Rechte auf Leben, Freiheit und Eigentum).</w:t>
      </w:r>
    </w:p>
    <w:p w:rsidR="00606105" w:rsidRPr="00606105" w:rsidRDefault="00606105" w:rsidP="00606105">
      <w:pPr>
        <w:pStyle w:val="StandardWeb"/>
        <w:ind w:left="1080"/>
        <w:rPr>
          <w:rFonts w:ascii="Arial" w:hAnsi="Arial" w:cs="Arial"/>
          <w:sz w:val="20"/>
          <w:szCs w:val="16"/>
        </w:rPr>
      </w:pPr>
      <w:r w:rsidRPr="00606105">
        <w:rPr>
          <w:rStyle w:val="Fett"/>
          <w:rFonts w:ascii="Arial" w:hAnsi="Arial" w:cs="Arial"/>
          <w:sz w:val="20"/>
          <w:szCs w:val="16"/>
        </w:rPr>
        <w:t>„Menschenwürde“:</w:t>
      </w:r>
      <w:r w:rsidRPr="00606105">
        <w:rPr>
          <w:rFonts w:ascii="Arial" w:hAnsi="Arial" w:cs="Arial"/>
          <w:sz w:val="20"/>
          <w:szCs w:val="16"/>
        </w:rPr>
        <w:br/>
        <w:t>ist der innere und zugleich soziale Werteanspruch, der den Menschen um seinetwillen zukommt. Die Menschenwürde besteht darin, dass der Mensch als geistig-sittliches Wesen von Natur darauf angelegt ist, in Freiheit und Selbstbewusstsein sich selbst zu bestimmen und in der Umwelt auszuwirken. Die Menschenwürde ist unantastbar. Daraus folgt, dass einerseits die Würde des Menschen nach der Verfassung der höchste Wert und damit der Mittelpunkt des Wertesystems ist und andererseits der Staat ausschließlich um des Menschen willen da ist und Verletzungen der Menschenwürde verhindern muss.</w:t>
      </w:r>
      <w:r w:rsidRPr="00606105">
        <w:rPr>
          <w:rFonts w:ascii="Arial" w:hAnsi="Arial" w:cs="Arial"/>
          <w:sz w:val="20"/>
          <w:szCs w:val="16"/>
        </w:rPr>
        <w:br/>
        <w:t> </w:t>
      </w:r>
      <w:r w:rsidRPr="00606105">
        <w:rPr>
          <w:rFonts w:ascii="Arial" w:hAnsi="Arial" w:cs="Arial"/>
          <w:sz w:val="20"/>
          <w:szCs w:val="16"/>
        </w:rPr>
        <w:br/>
        <w:t>So urteilte ein österreichisches Gericht: Da der Mensch “kein Verwaltungsobjekt” darstellt,</w:t>
      </w:r>
      <w:r w:rsidRPr="00606105">
        <w:rPr>
          <w:rFonts w:ascii="Arial" w:hAnsi="Arial" w:cs="Arial"/>
          <w:sz w:val="20"/>
          <w:szCs w:val="16"/>
        </w:rPr>
        <w:br/>
        <w:t>kann die Staatsgewalt über einen Menschen “NICHT” verfügen. Im Gegenteil</w:t>
      </w:r>
      <w:r w:rsidRPr="00606105">
        <w:rPr>
          <w:rFonts w:ascii="Arial" w:hAnsi="Arial" w:cs="Arial"/>
          <w:sz w:val="20"/>
          <w:szCs w:val="16"/>
        </w:rPr>
        <w:br/>
        <w:t>ist es die Aufgabe der Staatsgewalt, die Würde des Menschen zu achten und zu schützen.</w:t>
      </w:r>
      <w:r w:rsidRPr="00606105">
        <w:rPr>
          <w:rFonts w:ascii="Arial" w:hAnsi="Arial" w:cs="Arial"/>
          <w:sz w:val="20"/>
          <w:szCs w:val="16"/>
        </w:rPr>
        <w:br/>
        <w:t>Ganz wie es das EU Verfassungsgesetz aus 2004 und die Menschenrechtskonvention 1948 vorschreiben.</w:t>
      </w:r>
    </w:p>
    <w:p w:rsidR="00606105" w:rsidRPr="00606105" w:rsidRDefault="00606105" w:rsidP="00606105">
      <w:pPr>
        <w:pStyle w:val="StandardWeb"/>
        <w:ind w:left="1080"/>
        <w:rPr>
          <w:rFonts w:ascii="Arial" w:hAnsi="Arial" w:cs="Arial"/>
          <w:sz w:val="20"/>
          <w:szCs w:val="16"/>
        </w:rPr>
      </w:pPr>
      <w:r w:rsidRPr="00606105">
        <w:rPr>
          <w:rStyle w:val="Fett"/>
          <w:rFonts w:ascii="Arial" w:hAnsi="Arial" w:cs="Arial"/>
          <w:sz w:val="20"/>
          <w:szCs w:val="16"/>
        </w:rPr>
        <w:t>„Person“</w:t>
      </w:r>
      <w:r w:rsidRPr="00606105">
        <w:rPr>
          <w:rFonts w:ascii="Arial" w:hAnsi="Arial" w:cs="Arial"/>
          <w:sz w:val="20"/>
          <w:szCs w:val="16"/>
        </w:rPr>
        <w:br/>
        <w:t>(</w:t>
      </w:r>
      <w:proofErr w:type="spellStart"/>
      <w:r w:rsidRPr="00606105">
        <w:rPr>
          <w:rFonts w:ascii="Arial" w:hAnsi="Arial" w:cs="Arial"/>
          <w:sz w:val="20"/>
          <w:szCs w:val="16"/>
        </w:rPr>
        <w:t>Def</w:t>
      </w:r>
      <w:proofErr w:type="spellEnd"/>
      <w:r w:rsidRPr="00606105">
        <w:rPr>
          <w:rFonts w:ascii="Arial" w:hAnsi="Arial" w:cs="Arial"/>
          <w:sz w:val="20"/>
          <w:szCs w:val="16"/>
        </w:rPr>
        <w:t xml:space="preserve">. jur. Wörterbuch </w:t>
      </w:r>
      <w:proofErr w:type="spellStart"/>
      <w:r w:rsidRPr="00606105">
        <w:rPr>
          <w:rFonts w:ascii="Arial" w:hAnsi="Arial" w:cs="Arial"/>
          <w:sz w:val="20"/>
          <w:szCs w:val="16"/>
        </w:rPr>
        <w:t>Köbler</w:t>
      </w:r>
      <w:proofErr w:type="spellEnd"/>
      <w:r w:rsidRPr="00606105">
        <w:rPr>
          <w:rFonts w:ascii="Arial" w:hAnsi="Arial" w:cs="Arial"/>
          <w:sz w:val="20"/>
          <w:szCs w:val="16"/>
        </w:rPr>
        <w:t>) ist, wer Träger von Rechten und Pflichten sein kann</w:t>
      </w:r>
      <w:r w:rsidRPr="00606105">
        <w:rPr>
          <w:rFonts w:ascii="Arial" w:hAnsi="Arial" w:cs="Arial"/>
          <w:sz w:val="20"/>
          <w:szCs w:val="16"/>
        </w:rPr>
        <w:br/>
        <w:t>(Rechtssubjekt, Rechtsfähigkeit)</w:t>
      </w:r>
      <w:r w:rsidRPr="00606105">
        <w:rPr>
          <w:rFonts w:ascii="Arial" w:hAnsi="Arial" w:cs="Arial"/>
          <w:sz w:val="20"/>
          <w:szCs w:val="16"/>
        </w:rPr>
        <w:br/>
      </w:r>
      <w:r w:rsidRPr="00606105">
        <w:rPr>
          <w:rStyle w:val="Fett"/>
          <w:rFonts w:ascii="Arial" w:hAnsi="Arial" w:cs="Arial"/>
          <w:sz w:val="20"/>
          <w:szCs w:val="16"/>
        </w:rPr>
        <w:br/>
        <w:t>Beweis: „Person“</w:t>
      </w:r>
      <w:r w:rsidRPr="00606105">
        <w:rPr>
          <w:rFonts w:ascii="Arial" w:hAnsi="Arial" w:cs="Arial"/>
          <w:sz w:val="20"/>
          <w:szCs w:val="16"/>
        </w:rPr>
        <w:t xml:space="preserve"> Wikipedia</w:t>
      </w:r>
      <w:r w:rsidRPr="00606105">
        <w:rPr>
          <w:rFonts w:ascii="Arial" w:hAnsi="Arial" w:cs="Arial"/>
          <w:sz w:val="20"/>
          <w:szCs w:val="16"/>
        </w:rPr>
        <w:br/>
        <w:t xml:space="preserve">(Herkunft, 3. Jahrhundert als </w:t>
      </w:r>
      <w:proofErr w:type="spellStart"/>
      <w:r w:rsidRPr="00606105">
        <w:rPr>
          <w:rFonts w:ascii="Arial" w:hAnsi="Arial" w:cs="Arial"/>
          <w:sz w:val="20"/>
          <w:szCs w:val="16"/>
        </w:rPr>
        <w:t>person</w:t>
      </w:r>
      <w:proofErr w:type="spellEnd"/>
      <w:r w:rsidRPr="00606105">
        <w:rPr>
          <w:rFonts w:ascii="Arial" w:hAnsi="Arial" w:cs="Arial"/>
          <w:sz w:val="20"/>
          <w:szCs w:val="16"/>
        </w:rPr>
        <w:t xml:space="preserve">(e) aus lat. </w:t>
      </w:r>
      <w:proofErr w:type="spellStart"/>
      <w:r w:rsidRPr="00606105">
        <w:rPr>
          <w:rFonts w:ascii="Arial" w:hAnsi="Arial" w:cs="Arial"/>
          <w:sz w:val="20"/>
          <w:szCs w:val="16"/>
        </w:rPr>
        <w:t>persona</w:t>
      </w:r>
      <w:proofErr w:type="spellEnd"/>
      <w:r w:rsidRPr="00606105">
        <w:rPr>
          <w:rFonts w:ascii="Arial" w:hAnsi="Arial" w:cs="Arial"/>
          <w:sz w:val="20"/>
          <w:szCs w:val="16"/>
        </w:rPr>
        <w:t xml:space="preserve"> „Maske des Schauspielers“,</w:t>
      </w:r>
      <w:r w:rsidRPr="00606105">
        <w:rPr>
          <w:rFonts w:ascii="Arial" w:hAnsi="Arial" w:cs="Arial"/>
          <w:sz w:val="20"/>
          <w:szCs w:val="16"/>
        </w:rPr>
        <w:br/>
        <w:t>lat. per-sonare für „durchtönen“ (nämlich die Stimme durch die Maske)</w:t>
      </w:r>
      <w:r w:rsidRPr="00606105">
        <w:rPr>
          <w:rFonts w:ascii="Arial" w:hAnsi="Arial" w:cs="Arial"/>
          <w:sz w:val="20"/>
          <w:szCs w:val="16"/>
        </w:rPr>
        <w:br/>
      </w:r>
    </w:p>
    <w:p w:rsidR="00606105" w:rsidRPr="00606105" w:rsidRDefault="00606105" w:rsidP="00606105">
      <w:pPr>
        <w:pStyle w:val="StandardWeb"/>
        <w:ind w:left="1080"/>
        <w:rPr>
          <w:rFonts w:ascii="Arial" w:hAnsi="Arial" w:cs="Arial"/>
          <w:sz w:val="20"/>
          <w:szCs w:val="16"/>
        </w:rPr>
      </w:pPr>
      <w:r w:rsidRPr="00606105">
        <w:rPr>
          <w:rFonts w:ascii="Arial" w:hAnsi="Arial" w:cs="Arial"/>
          <w:b/>
          <w:sz w:val="20"/>
          <w:szCs w:val="16"/>
        </w:rPr>
        <w:lastRenderedPageBreak/>
        <w:t xml:space="preserve">BGBEG </w:t>
      </w:r>
      <w:r w:rsidRPr="00606105">
        <w:rPr>
          <w:rFonts w:ascii="Arial" w:hAnsi="Arial" w:cs="Arial"/>
          <w:sz w:val="20"/>
          <w:szCs w:val="16"/>
        </w:rPr>
        <w:t xml:space="preserve">§ 10 </w:t>
      </w:r>
      <w:r w:rsidRPr="00606105">
        <w:rPr>
          <w:rStyle w:val="Fett"/>
          <w:rFonts w:ascii="Arial" w:hAnsi="Arial" w:cs="Arial"/>
          <w:sz w:val="20"/>
          <w:szCs w:val="16"/>
        </w:rPr>
        <w:t>„Name“:</w:t>
      </w:r>
      <w:r w:rsidRPr="00606105">
        <w:rPr>
          <w:rFonts w:ascii="Arial" w:hAnsi="Arial" w:cs="Arial"/>
          <w:b/>
          <w:sz w:val="20"/>
          <w:szCs w:val="16"/>
        </w:rPr>
        <w:br/>
        <w:t>(1) Der Name einer Person unterliegt dem Recht des Staates, dem die Person angehört.</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Fall: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 xml:space="preserve">Beamtenverhältnisse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Fundstellen: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 xml:space="preserve">BVerfGE 3, 58; DVBl 1954, 86; DÖV 1954, 53; JZ 1954, 76; MDR 1954, 88; NJW 1954, 21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Gericht: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 xml:space="preserve">Bundesverfassungsgericht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Datum: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 xml:space="preserve">17.12.1953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Aktenzeichen: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 xml:space="preserve">1 BvR 147/52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Entscheidungstyp: </w:t>
      </w:r>
    </w:p>
    <w:p w:rsidR="00606105" w:rsidRPr="00606105" w:rsidRDefault="00606105" w:rsidP="00606105">
      <w:pPr>
        <w:pStyle w:val="Listenabsatz"/>
        <w:spacing w:after="0" w:line="240" w:lineRule="auto"/>
        <w:ind w:left="1080"/>
        <w:rPr>
          <w:rFonts w:ascii="Arial" w:eastAsia="Times New Roman" w:hAnsi="Arial" w:cs="Arial"/>
          <w:sz w:val="20"/>
          <w:szCs w:val="16"/>
          <w:lang w:eastAsia="de-DE"/>
        </w:rPr>
      </w:pPr>
      <w:r w:rsidRPr="00606105">
        <w:rPr>
          <w:rFonts w:ascii="Arial" w:eastAsia="Times New Roman" w:hAnsi="Arial" w:cs="Arial"/>
          <w:sz w:val="20"/>
          <w:szCs w:val="16"/>
          <w:lang w:eastAsia="de-DE"/>
        </w:rPr>
        <w:t xml:space="preserve">Urteil </w:t>
      </w:r>
    </w:p>
    <w:p w:rsidR="00606105" w:rsidRPr="00606105" w:rsidRDefault="00606105" w:rsidP="00606105">
      <w:pPr>
        <w:pStyle w:val="Listenabsatz"/>
        <w:spacing w:before="100" w:after="100" w:line="240" w:lineRule="auto"/>
        <w:ind w:left="1080"/>
        <w:rPr>
          <w:rFonts w:ascii="Arial" w:hAnsi="Arial" w:cs="Arial"/>
          <w:sz w:val="20"/>
          <w:szCs w:val="16"/>
        </w:rPr>
      </w:pPr>
      <w:r w:rsidRPr="00606105">
        <w:rPr>
          <w:rFonts w:ascii="Arial" w:hAnsi="Arial" w:cs="Arial"/>
          <w:b/>
          <w:sz w:val="20"/>
          <w:szCs w:val="16"/>
          <w:u w:val="single"/>
        </w:rPr>
        <w:br/>
        <w:t>2. Staatshaftung weggefalle</w:t>
      </w:r>
      <w:r w:rsidR="0052057E">
        <w:rPr>
          <w:rFonts w:ascii="Arial" w:hAnsi="Arial" w:cs="Arial"/>
          <w:b/>
          <w:sz w:val="20"/>
          <w:szCs w:val="16"/>
          <w:u w:val="single"/>
        </w:rPr>
        <w:t>n:</w:t>
      </w:r>
      <w:r w:rsidRPr="00606105">
        <w:rPr>
          <w:rFonts w:ascii="Arial" w:hAnsi="Arial" w:cs="Arial"/>
          <w:b/>
          <w:sz w:val="20"/>
          <w:szCs w:val="16"/>
          <w:u w:val="single"/>
        </w:rPr>
        <w:br/>
      </w:r>
    </w:p>
    <w:p w:rsidR="00606105" w:rsidRPr="00606105" w:rsidRDefault="00606105" w:rsidP="00606105">
      <w:pPr>
        <w:pStyle w:val="Listenabsatz"/>
        <w:spacing w:before="100" w:after="100" w:line="240" w:lineRule="auto"/>
        <w:ind w:left="1080"/>
        <w:rPr>
          <w:rFonts w:ascii="Arial" w:hAnsi="Arial" w:cs="Arial"/>
          <w:sz w:val="20"/>
          <w:szCs w:val="16"/>
        </w:rPr>
      </w:pPr>
      <w:r w:rsidRPr="00606105">
        <w:rPr>
          <w:rFonts w:ascii="Arial" w:eastAsia="Times New Roman" w:hAnsi="Arial" w:cs="Arial"/>
          <w:noProof/>
          <w:sz w:val="20"/>
          <w:szCs w:val="16"/>
          <w:lang w:eastAsia="de-DE"/>
        </w:rPr>
        <w:drawing>
          <wp:inline distT="0" distB="0" distL="0" distR="0" wp14:anchorId="205073FC" wp14:editId="497E466A">
            <wp:extent cx="4739339" cy="2501900"/>
            <wp:effectExtent l="0" t="0" r="4445"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47117" cy="2506006"/>
                    </a:xfrm>
                    <a:prstGeom prst="rect">
                      <a:avLst/>
                    </a:prstGeom>
                    <a:noFill/>
                    <a:ln>
                      <a:noFill/>
                      <a:prstDash/>
                    </a:ln>
                  </pic:spPr>
                </pic:pic>
              </a:graphicData>
            </a:graphic>
          </wp:inline>
        </w:drawing>
      </w:r>
    </w:p>
    <w:p w:rsidR="00A15CFB" w:rsidRPr="00606105" w:rsidRDefault="00A15CFB">
      <w:pPr>
        <w:rPr>
          <w:sz w:val="28"/>
        </w:rPr>
      </w:pPr>
    </w:p>
    <w:sectPr w:rsidR="00A15CFB" w:rsidRPr="006061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D2E48"/>
    <w:multiLevelType w:val="hybridMultilevel"/>
    <w:tmpl w:val="43B6EEEE"/>
    <w:lvl w:ilvl="0" w:tplc="F96E9C48">
      <w:start w:val="1"/>
      <w:numFmt w:val="low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05"/>
    <w:rsid w:val="00201FDF"/>
    <w:rsid w:val="00247955"/>
    <w:rsid w:val="00307FD8"/>
    <w:rsid w:val="0052057E"/>
    <w:rsid w:val="00541FAA"/>
    <w:rsid w:val="00606105"/>
    <w:rsid w:val="0078019E"/>
    <w:rsid w:val="00896363"/>
    <w:rsid w:val="00A15CFB"/>
    <w:rsid w:val="00E62EE1"/>
    <w:rsid w:val="00F917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BC681-D7A8-43CA-8F2F-8F3C9ED1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6105"/>
    <w:pPr>
      <w:spacing w:after="120" w:line="264" w:lineRule="auto"/>
      <w:ind w:left="720"/>
      <w:contextualSpacing/>
    </w:pPr>
    <w:rPr>
      <w:rFonts w:eastAsiaTheme="minorEastAsia"/>
      <w:sz w:val="21"/>
      <w:szCs w:val="21"/>
    </w:rPr>
  </w:style>
  <w:style w:type="character" w:styleId="Fett">
    <w:name w:val="Strong"/>
    <w:basedOn w:val="Absatz-Standardschriftart"/>
    <w:qFormat/>
    <w:rsid w:val="00606105"/>
    <w:rPr>
      <w:b/>
      <w:bCs/>
    </w:rPr>
  </w:style>
  <w:style w:type="character" w:customStyle="1" w:styleId="ff2">
    <w:name w:val="ff2"/>
    <w:basedOn w:val="Absatz-Standardschriftart"/>
    <w:rsid w:val="00606105"/>
  </w:style>
  <w:style w:type="paragraph" w:styleId="StandardWeb">
    <w:name w:val="Normal (Web)"/>
    <w:basedOn w:val="Standard"/>
    <w:rsid w:val="00606105"/>
    <w:pPr>
      <w:suppressAutoHyphens/>
      <w:autoSpaceDN w:val="0"/>
      <w:spacing w:before="100" w:after="100" w:line="240" w:lineRule="auto"/>
    </w:pPr>
    <w:rPr>
      <w:rFonts w:ascii="Times New Roman" w:eastAsia="Times New Roman" w:hAnsi="Times New Roman" w:cs="Times New Roman"/>
      <w:sz w:val="24"/>
      <w:szCs w:val="24"/>
      <w:lang w:eastAsia="de-DE"/>
    </w:rPr>
  </w:style>
  <w:style w:type="paragraph" w:customStyle="1" w:styleId="imalignjustify">
    <w:name w:val="imalign_justify"/>
    <w:basedOn w:val="Standard"/>
    <w:rsid w:val="00606105"/>
    <w:pPr>
      <w:suppressAutoHyphens/>
      <w:autoSpaceDN w:val="0"/>
      <w:spacing w:before="100" w:after="100" w:line="240" w:lineRule="auto"/>
    </w:pPr>
    <w:rPr>
      <w:rFonts w:ascii="Times New Roman" w:eastAsia="Times New Roman" w:hAnsi="Times New Roman" w:cs="Times New Roman"/>
      <w:sz w:val="24"/>
      <w:szCs w:val="24"/>
      <w:lang w:eastAsia="de-DE"/>
    </w:rPr>
  </w:style>
  <w:style w:type="character" w:customStyle="1" w:styleId="ff1">
    <w:name w:val="ff1"/>
    <w:basedOn w:val="Absatz-Standardschriftart"/>
    <w:rsid w:val="0060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Klasen</dc:creator>
  <cp:keywords/>
  <dc:description/>
  <cp:lastModifiedBy>Rüdiger Hoffmann</cp:lastModifiedBy>
  <cp:revision>2</cp:revision>
  <cp:lastPrinted>2018-07-11T08:49:00Z</cp:lastPrinted>
  <dcterms:created xsi:type="dcterms:W3CDTF">2018-08-20T12:53:00Z</dcterms:created>
  <dcterms:modified xsi:type="dcterms:W3CDTF">2018-08-20T12:53:00Z</dcterms:modified>
</cp:coreProperties>
</file>